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5B" w:rsidRPr="00494DB6" w:rsidRDefault="00494DB6" w:rsidP="0072055B">
      <w:pPr>
        <w:pStyle w:val="Titel2rechtsbndig"/>
        <w:rPr>
          <w:lang w:val="it-CH"/>
        </w:rPr>
      </w:pPr>
      <w:r>
        <w:rPr>
          <w:lang w:val="it-CH"/>
        </w:rPr>
        <w:t>Com</w:t>
      </w:r>
      <w:r w:rsidR="00355EA2" w:rsidRPr="00494DB6">
        <w:rPr>
          <w:lang w:val="it-CH"/>
        </w:rPr>
        <w:t>unicato del CSFO</w:t>
      </w:r>
      <w:r w:rsidR="00355EA2" w:rsidRPr="00494DB6">
        <w:rPr>
          <w:lang w:val="it-CH"/>
        </w:rPr>
        <w:br/>
      </w:r>
      <w:r w:rsidR="00310E74">
        <w:rPr>
          <w:lang w:val="it-CH"/>
        </w:rPr>
        <w:t>Divisione</w:t>
      </w:r>
      <w:r w:rsidR="00470AC0">
        <w:rPr>
          <w:lang w:val="it-CH"/>
        </w:rPr>
        <w:t xml:space="preserve"> Media F</w:t>
      </w:r>
      <w:r w:rsidR="00355EA2" w:rsidRPr="00494DB6">
        <w:rPr>
          <w:lang w:val="it-CH"/>
        </w:rPr>
        <w:t>ormazione professionale</w:t>
      </w:r>
    </w:p>
    <w:p w:rsidR="0072055B" w:rsidRPr="004C1538" w:rsidRDefault="004C1538" w:rsidP="0072055B">
      <w:pPr>
        <w:pStyle w:val="Titel1rechtsbndig"/>
        <w:rPr>
          <w:lang w:val="it-CH"/>
        </w:rPr>
      </w:pPr>
      <w:r w:rsidRPr="004C1538">
        <w:rPr>
          <w:i/>
          <w:lang w:val="it-IT"/>
        </w:rPr>
        <w:t>Quali</w:t>
      </w:r>
      <w:r w:rsidRPr="004C1538">
        <w:rPr>
          <w:lang w:val="it-IT"/>
        </w:rPr>
        <w:t>Carte</w:t>
      </w:r>
    </w:p>
    <w:p w:rsidR="0072055B" w:rsidRPr="004C1538" w:rsidRDefault="004C1538" w:rsidP="0072055B">
      <w:pPr>
        <w:pStyle w:val="Titel3linksbndig"/>
        <w:rPr>
          <w:lang w:val="it-CH"/>
        </w:rPr>
      </w:pPr>
      <w:r w:rsidRPr="004C1538">
        <w:rPr>
          <w:lang w:val="it-IT"/>
        </w:rPr>
        <w:t>Uno strumento per la valutazione della qualità nella formazione in azienda</w:t>
      </w:r>
    </w:p>
    <w:p w:rsidR="0072055B" w:rsidRPr="003A13A8" w:rsidRDefault="0072055B" w:rsidP="0072055B">
      <w:pPr>
        <w:rPr>
          <w:noProof/>
          <w:lang w:val="it-IT"/>
        </w:rPr>
      </w:pPr>
    </w:p>
    <w:p w:rsidR="0072055B" w:rsidRPr="003A13A8" w:rsidRDefault="0072055B" w:rsidP="0072055B">
      <w:pPr>
        <w:rPr>
          <w:noProof/>
          <w:lang w:val="it-IT"/>
        </w:rPr>
      </w:pPr>
    </w:p>
    <w:p w:rsidR="004C1538" w:rsidRPr="004C1538" w:rsidRDefault="004C1538" w:rsidP="004C1538">
      <w:pPr>
        <w:pStyle w:val="LauftextBlocksatzmitTrennung"/>
        <w:rPr>
          <w:lang w:val="it-IT"/>
        </w:rPr>
      </w:pPr>
      <w:r w:rsidRPr="004C1538">
        <w:rPr>
          <w:lang w:val="it-IT"/>
        </w:rPr>
        <w:t>La QualiCarte è uno strumento per la valutazione della qualità della formazione in azienda. Serve innanzitutto a identificare il potenziale di perfezionamento e quindi a migliorare costantemente la formazione. La QualiCarte stabilisce i requisiti necessari per una formazione di qualità.</w:t>
      </w:r>
    </w:p>
    <w:p w:rsidR="0072055B" w:rsidRPr="004C1538" w:rsidRDefault="0072055B" w:rsidP="0072055B">
      <w:pPr>
        <w:pStyle w:val="LauftextBlocksatzmitTrennung"/>
        <w:rPr>
          <w:lang w:val="it-CH"/>
        </w:rPr>
      </w:pPr>
    </w:p>
    <w:p w:rsidR="004C1538" w:rsidRDefault="004C1538" w:rsidP="004C1538">
      <w:pPr>
        <w:pStyle w:val="LauftextBlocksatzmitTrennung"/>
        <w:rPr>
          <w:bCs/>
          <w:lang w:val="it-IT"/>
        </w:rPr>
      </w:pPr>
      <w:r w:rsidRPr="004C1538">
        <w:rPr>
          <w:bCs/>
          <w:lang w:val="it-IT"/>
        </w:rPr>
        <w:t>La Legge federale sulla formazione professionale (LFPr) all’articolo 8 richiede esplicitamente che gli operatori della formazione della pratica professionale garantiscano lo sviluppo della qualità. Nel sistema duale sono parte di questi operatori anche le aziende formatrici e le istituzioni che offrono una formazione professionale</w:t>
      </w:r>
      <w:r w:rsidR="003635CC">
        <w:rPr>
          <w:bCs/>
          <w:lang w:val="it-IT"/>
        </w:rPr>
        <w:t>. I Cantoni, per l’erogazione (o il sequestro) del permesso di formare, o durante la vigilanza aziendale, possono fare riferimento agli indicatori di qualità della QualiCarte.</w:t>
      </w:r>
      <w:r w:rsidRPr="004C1538">
        <w:rPr>
          <w:bCs/>
          <w:lang w:val="it-IT"/>
        </w:rPr>
        <w:t xml:space="preserve"> </w:t>
      </w:r>
    </w:p>
    <w:p w:rsidR="004C1538" w:rsidRPr="004C1538" w:rsidRDefault="004C1538" w:rsidP="004C1538">
      <w:pPr>
        <w:pStyle w:val="LauftextBlocksatzmitTrennung"/>
        <w:rPr>
          <w:lang w:val="it-IT"/>
        </w:rPr>
      </w:pPr>
    </w:p>
    <w:p w:rsidR="004C1538" w:rsidRPr="004C1538" w:rsidRDefault="004C1538" w:rsidP="004C1538">
      <w:pPr>
        <w:pStyle w:val="LauftextBlocksatzmitTrennung"/>
        <w:rPr>
          <w:lang w:val="it-IT"/>
        </w:rPr>
      </w:pPr>
      <w:r w:rsidRPr="004C1538">
        <w:rPr>
          <w:lang w:val="it-IT"/>
        </w:rPr>
        <w:t>La QualiCarte è stata elaborata dalla Conferenza svizzera degli uffici della formazione professionale (CSFP) in collaborazione con l’Unione svizzera degli imprenditori (USI) e dell’Unione svizzera delle arti e dei mestieri (USAM). Nel quadro dei progetti per il 2° decreto per i posti di tirocinio erano già stati sviluppati uno strumento di valutazione nella Svizzera romanda (progetto SQA) e uno nella Svizzera centrale (progetto QualiZense). In base a questi due strumenti nel 2006 è stato iniziato il progetto QualiCarte che copre tutto il territorio nazionale dalla CSFP e da alcuni rappresentanti delle organizzazioni del mondo del lavoro, con il sostegno finanziario d</w:t>
      </w:r>
      <w:r w:rsidR="00077223">
        <w:rPr>
          <w:lang w:val="it-IT"/>
        </w:rPr>
        <w:t>alla SEFRI</w:t>
      </w:r>
      <w:bookmarkStart w:id="0" w:name="_GoBack"/>
      <w:bookmarkEnd w:id="0"/>
      <w:r w:rsidRPr="004C1538">
        <w:rPr>
          <w:lang w:val="it-IT"/>
        </w:rPr>
        <w:t xml:space="preserve">. </w:t>
      </w:r>
    </w:p>
    <w:p w:rsidR="004C1538" w:rsidRPr="004C1538" w:rsidRDefault="004C1538" w:rsidP="004C1538">
      <w:pPr>
        <w:pStyle w:val="LauftextBlocksatzmitTrennung"/>
        <w:rPr>
          <w:lang w:val="it-IT"/>
        </w:rPr>
      </w:pPr>
    </w:p>
    <w:p w:rsidR="004C1538" w:rsidRPr="004C1538" w:rsidRDefault="004C1538" w:rsidP="004C1538">
      <w:pPr>
        <w:pStyle w:val="LauftextBlocksatzmitTrennung"/>
        <w:rPr>
          <w:lang w:val="it-IT"/>
        </w:rPr>
      </w:pPr>
      <w:r w:rsidRPr="004C1538">
        <w:rPr>
          <w:lang w:val="it-IT"/>
        </w:rPr>
        <w:t>Grazie alla QualiCarte l’azienda formatrice può</w:t>
      </w:r>
    </w:p>
    <w:p w:rsidR="004C1538" w:rsidRPr="004C1538" w:rsidRDefault="004C1538" w:rsidP="004C1538">
      <w:pPr>
        <w:pStyle w:val="LauftextBlocksatzmitTrennung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it-IT"/>
        </w:rPr>
      </w:pPr>
      <w:r w:rsidRPr="004C1538">
        <w:rPr>
          <w:lang w:val="it-IT"/>
        </w:rPr>
        <w:t>riconoscere il potenziale di miglioramento delle prestazioni della formazione</w:t>
      </w:r>
    </w:p>
    <w:p w:rsidR="004C1538" w:rsidRPr="004C1538" w:rsidRDefault="004C1538" w:rsidP="004C1538">
      <w:pPr>
        <w:pStyle w:val="LauftextBlocksatzmitTrennung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it-IT"/>
        </w:rPr>
      </w:pPr>
      <w:r w:rsidRPr="004C1538">
        <w:rPr>
          <w:lang w:val="it-IT"/>
        </w:rPr>
        <w:t>migliorare la qualità della formazione a lungo termine</w:t>
      </w:r>
    </w:p>
    <w:p w:rsidR="004C1538" w:rsidRPr="004C1538" w:rsidRDefault="004C1538" w:rsidP="004C1538">
      <w:pPr>
        <w:pStyle w:val="LauftextBlocksatzmitTrennung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it-IT"/>
        </w:rPr>
      </w:pPr>
      <w:r w:rsidRPr="004C1538">
        <w:rPr>
          <w:lang w:val="it-IT"/>
        </w:rPr>
        <w:t xml:space="preserve">aumentare l’attività dell’azienda in quanto azienda formatrice </w:t>
      </w:r>
    </w:p>
    <w:p w:rsidR="004C1538" w:rsidRPr="004C1538" w:rsidRDefault="004C1538" w:rsidP="004C1538">
      <w:pPr>
        <w:pStyle w:val="LauftextBlocksatzmitTrennung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it-IT"/>
        </w:rPr>
      </w:pPr>
      <w:r w:rsidRPr="004C1538">
        <w:rPr>
          <w:lang w:val="it-IT"/>
        </w:rPr>
        <w:t>ottimizzare la selezione delle persone in formazione</w:t>
      </w:r>
    </w:p>
    <w:p w:rsidR="004C1538" w:rsidRPr="004C1538" w:rsidRDefault="004C1538" w:rsidP="004C1538">
      <w:pPr>
        <w:pStyle w:val="LauftextBlocksatzmitTrennung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it-IT"/>
        </w:rPr>
      </w:pPr>
      <w:r w:rsidRPr="004C1538">
        <w:rPr>
          <w:lang w:val="it-IT"/>
        </w:rPr>
        <w:t>minimizzare il rischio di scioglimento del contratto</w:t>
      </w:r>
    </w:p>
    <w:p w:rsidR="004C1538" w:rsidRPr="004C1538" w:rsidRDefault="004C1538" w:rsidP="004C1538">
      <w:pPr>
        <w:pStyle w:val="LauftextBlocksatzmitTrennung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it-IT"/>
        </w:rPr>
      </w:pPr>
      <w:r w:rsidRPr="004C1538">
        <w:rPr>
          <w:lang w:val="it-IT"/>
        </w:rPr>
        <w:t>autovalutarsi</w:t>
      </w:r>
    </w:p>
    <w:p w:rsidR="004C1538" w:rsidRPr="004C1538" w:rsidRDefault="004C1538" w:rsidP="004C1538">
      <w:pPr>
        <w:pStyle w:val="LauftextBlocksatzmitTrennung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it-IT"/>
        </w:rPr>
      </w:pPr>
      <w:r w:rsidRPr="004C1538">
        <w:rPr>
          <w:lang w:val="it-IT"/>
        </w:rPr>
        <w:t xml:space="preserve">essere sostenuta per ottenere l’autorizzazione a formare </w:t>
      </w:r>
    </w:p>
    <w:p w:rsidR="0072055B" w:rsidRPr="004C1538" w:rsidRDefault="0072055B" w:rsidP="0072055B">
      <w:pPr>
        <w:pStyle w:val="LauftextBlocksatzmitTrennung"/>
        <w:rPr>
          <w:lang w:val="it-IT"/>
        </w:rPr>
      </w:pPr>
    </w:p>
    <w:p w:rsidR="004C1538" w:rsidRPr="004C1538" w:rsidRDefault="004C1538" w:rsidP="004C1538">
      <w:pPr>
        <w:pStyle w:val="LauftextBlocksatzmitTrennung"/>
        <w:rPr>
          <w:lang w:val="it-IT"/>
        </w:rPr>
      </w:pPr>
      <w:r w:rsidRPr="004C1538">
        <w:rPr>
          <w:lang w:val="it-IT"/>
        </w:rPr>
        <w:t>La QualiCarte è inserita nel "Manuale per la formazione degli apprendisti in azienda" di cui segue la struttura (obbiettivi di formazione, contenuti, standard).</w:t>
      </w:r>
    </w:p>
    <w:p w:rsidR="0072055B" w:rsidRPr="004C1538" w:rsidRDefault="0072055B" w:rsidP="0072055B">
      <w:pPr>
        <w:pStyle w:val="LauftextBlocksatzmitTrennung"/>
        <w:rPr>
          <w:lang w:val="it-IT"/>
        </w:rPr>
      </w:pPr>
    </w:p>
    <w:p w:rsidR="004C1538" w:rsidRDefault="004C1538" w:rsidP="004C1538">
      <w:pPr>
        <w:rPr>
          <w:rFonts w:eastAsia="Times New Roman"/>
          <w:b/>
          <w:i/>
          <w:lang w:val="it-IT"/>
        </w:rPr>
      </w:pPr>
      <w:r w:rsidRPr="004C1538">
        <w:rPr>
          <w:rFonts w:eastAsia="Times New Roman"/>
          <w:lang w:val="it-IT"/>
        </w:rPr>
        <w:t xml:space="preserve">Il formulario è disponibile in versione cartacea o in versione PDF interattivo in lingua italiana, francese e tedesca. Ulteriori strumenti di lavoro e informazioni si trovano sul sito Qualità della formazione professionale: </w:t>
      </w:r>
      <w:r w:rsidRPr="004C1538">
        <w:rPr>
          <w:rFonts w:eastAsia="Times New Roman"/>
          <w:b/>
          <w:i/>
          <w:lang w:val="it-IT"/>
        </w:rPr>
        <w:t>www.qfp.formazioneprof.ch</w:t>
      </w:r>
    </w:p>
    <w:p w:rsidR="0072055B" w:rsidRPr="004C1538" w:rsidRDefault="00DB41C1" w:rsidP="004C1538">
      <w:pPr>
        <w:rPr>
          <w:lang w:val="it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-306070</wp:posOffset>
            </wp:positionH>
            <wp:positionV relativeFrom="page">
              <wp:posOffset>9721215</wp:posOffset>
            </wp:positionV>
            <wp:extent cx="1841500" cy="342900"/>
            <wp:effectExtent l="0" t="0" r="6350" b="0"/>
            <wp:wrapNone/>
            <wp:docPr id="7" name="Bild 7" descr="SDBB_Verlag_4f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BB_Verlag_4f-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55B" w:rsidRPr="004C1538" w:rsidRDefault="0072055B" w:rsidP="0072055B">
      <w:pPr>
        <w:rPr>
          <w:lang w:val="it-CH"/>
        </w:rPr>
      </w:pPr>
    </w:p>
    <w:p w:rsidR="0072055B" w:rsidRPr="004C1538" w:rsidRDefault="0072055B" w:rsidP="0072055B">
      <w:pPr>
        <w:rPr>
          <w:lang w:val="it-CH"/>
        </w:rPr>
        <w:sectPr w:rsidR="0072055B" w:rsidRPr="004C1538" w:rsidSect="0072055B">
          <w:footerReference w:type="default" r:id="rId8"/>
          <w:footerReference w:type="first" r:id="rId9"/>
          <w:pgSz w:w="11906" w:h="16838"/>
          <w:pgMar w:top="2268" w:right="1418" w:bottom="1134" w:left="1418" w:header="709" w:footer="1199" w:gutter="0"/>
          <w:pgNumType w:start="1"/>
          <w:cols w:space="708"/>
          <w:titlePg/>
          <w:docGrid w:linePitch="272"/>
        </w:sectPr>
      </w:pPr>
    </w:p>
    <w:p w:rsidR="0072055B" w:rsidRDefault="0072055B" w:rsidP="0072055B">
      <w:pPr>
        <w:rPr>
          <w:lang w:val="it-CH"/>
        </w:rPr>
      </w:pPr>
    </w:p>
    <w:p w:rsidR="004C1538" w:rsidRDefault="004C1538" w:rsidP="0072055B">
      <w:pPr>
        <w:rPr>
          <w:lang w:val="it-CH"/>
        </w:rPr>
      </w:pPr>
    </w:p>
    <w:p w:rsidR="004C1538" w:rsidRDefault="004C1538" w:rsidP="0072055B">
      <w:pPr>
        <w:rPr>
          <w:lang w:val="it-CH"/>
        </w:rPr>
      </w:pPr>
    </w:p>
    <w:p w:rsidR="004C1538" w:rsidRDefault="004C1538" w:rsidP="0072055B">
      <w:pPr>
        <w:rPr>
          <w:lang w:val="it-CH"/>
        </w:rPr>
      </w:pPr>
    </w:p>
    <w:p w:rsidR="004C1538" w:rsidRPr="004C1538" w:rsidRDefault="004C1538" w:rsidP="0072055B">
      <w:pPr>
        <w:rPr>
          <w:lang w:val="it-CH"/>
        </w:rPr>
      </w:pPr>
    </w:p>
    <w:p w:rsidR="0072055B" w:rsidRPr="004C1538" w:rsidRDefault="0072055B" w:rsidP="0072055B">
      <w:pPr>
        <w:rPr>
          <w:lang w:val="it-CH"/>
        </w:rPr>
      </w:pPr>
    </w:p>
    <w:p w:rsidR="0072055B" w:rsidRPr="004C1538" w:rsidRDefault="0072055B" w:rsidP="0072055B">
      <w:pPr>
        <w:rPr>
          <w:lang w:val="it-CH"/>
        </w:rPr>
      </w:pPr>
    </w:p>
    <w:p w:rsidR="0072055B" w:rsidRPr="004C1538" w:rsidRDefault="00355EA2" w:rsidP="0072055B">
      <w:pPr>
        <w:pStyle w:val="Untertitellinksbndig"/>
        <w:rPr>
          <w:lang w:val="it-CH"/>
        </w:rPr>
      </w:pPr>
      <w:r w:rsidRPr="004C1538">
        <w:rPr>
          <w:lang w:val="it-CH"/>
        </w:rPr>
        <w:t xml:space="preserve">Modifiche </w:t>
      </w:r>
      <w:r w:rsidR="00305F3D" w:rsidRPr="004C1538">
        <w:rPr>
          <w:lang w:val="it-CH"/>
        </w:rPr>
        <w:t xml:space="preserve">rispetto </w:t>
      </w:r>
      <w:r w:rsidR="004C1538" w:rsidRPr="000A1919">
        <w:rPr>
          <w:lang w:val="it-IT"/>
        </w:rPr>
        <w:t xml:space="preserve">all’edizione del </w:t>
      </w:r>
      <w:r w:rsidR="004C1538" w:rsidRPr="00281B67">
        <w:rPr>
          <w:lang w:val="it-IT"/>
        </w:rPr>
        <w:t>2007</w:t>
      </w:r>
    </w:p>
    <w:p w:rsidR="0072055B" w:rsidRPr="004C1538" w:rsidRDefault="004C1538" w:rsidP="0072055B">
      <w:pPr>
        <w:pStyle w:val="LauftextBlocksatzmitTrennung"/>
        <w:rPr>
          <w:lang w:val="it-CH"/>
        </w:rPr>
      </w:pPr>
      <w:r w:rsidRPr="004C1538">
        <w:rPr>
          <w:lang w:val="it-IT"/>
        </w:rPr>
        <w:t>Nell’ottobre del 2009 la commissione formazione professionale di base della CSFP “Commission Formation initiale en entreprise” ha consultato i Cantoni in merito all’utilizzo e al contenuto della QualiCarte. Le risposte sono state valutate e adottate per la revisione della QualiCarte. Il comitato della CSFP, i rappresentanti delle organizzazioni del mondo del lavoro e la commissione per la qualità, competente anche per il “Manuale per la formazion</w:t>
      </w:r>
      <w:r>
        <w:rPr>
          <w:lang w:val="it-IT"/>
        </w:rPr>
        <w:t xml:space="preserve">e degli </w:t>
      </w:r>
      <w:r w:rsidRPr="004C1538">
        <w:rPr>
          <w:lang w:val="it-IT"/>
        </w:rPr>
        <w:t>apprendisti in azienda” hanno approvato la revisione. La QualiCarte ora comprende quattro pagine, sulla prima pagina si trovano le informazioni generali sull’applicazione della Quali Carte. Il numero degli indicatori è rimasto uguale, alcuni indicatori sono stati semplificati a livello linguistico. Gli indicatori numero 4 e 5 sono stati invertiti, gli indicatori numero 21 e 25 sono stati integrati entrambe nel numero 21. L’indicatore 25 ora tratta la procedura di qualificazione. Sull’ultima pagina della nuova QualiCarte per gli obbiettivi e i provvedimenti ora si possono designare delle “persone responsabili” e in un secondo momento inserire se gli obbiettivi sono stati raggiunti.</w:t>
      </w:r>
    </w:p>
    <w:p w:rsidR="0072055B" w:rsidRDefault="0072055B" w:rsidP="0072055B">
      <w:pPr>
        <w:pStyle w:val="LauftextBlocksatzmitTrennung"/>
        <w:rPr>
          <w:lang w:val="it-CH"/>
        </w:rPr>
      </w:pPr>
    </w:p>
    <w:p w:rsidR="00E52F25" w:rsidRDefault="00E52F25" w:rsidP="0072055B">
      <w:pPr>
        <w:pStyle w:val="LauftextBlocksatzmitTrennung"/>
        <w:rPr>
          <w:lang w:val="it-CH"/>
        </w:rPr>
      </w:pPr>
    </w:p>
    <w:p w:rsidR="00E52F25" w:rsidRPr="004C1538" w:rsidRDefault="00E52F25" w:rsidP="0072055B">
      <w:pPr>
        <w:pStyle w:val="LauftextBlocksatzmitTrennung"/>
        <w:rPr>
          <w:lang w:val="it-CH"/>
        </w:rPr>
      </w:pPr>
    </w:p>
    <w:p w:rsidR="0072055B" w:rsidRPr="003A13A8" w:rsidRDefault="00355EA2" w:rsidP="0072055B">
      <w:pPr>
        <w:pStyle w:val="Untertitellinksbndig"/>
        <w:rPr>
          <w:lang w:val="it-IT"/>
        </w:rPr>
      </w:pPr>
      <w:r w:rsidRPr="003A13A8">
        <w:rPr>
          <w:lang w:val="it-IT"/>
        </w:rPr>
        <w:t>In breve</w:t>
      </w:r>
    </w:p>
    <w:p w:rsidR="0072055B" w:rsidRPr="004C1538" w:rsidRDefault="004C1538" w:rsidP="0072055B">
      <w:pPr>
        <w:pStyle w:val="LauftextBlocksatzmitTrennung"/>
        <w:rPr>
          <w:lang w:val="it-CH"/>
        </w:rPr>
      </w:pPr>
      <w:r w:rsidRPr="000A1919">
        <w:rPr>
          <w:lang w:val="it-IT"/>
        </w:rPr>
        <w:t>La QualiCarte è uno strumento per la valutazione della qualità della formazione in azienda. Serve innanzitutto a identificare il potenziale di perfezionamento e quindi a migliorare costantemente la</w:t>
      </w:r>
      <w:r w:rsidRPr="000A1919">
        <w:rPr>
          <w:rFonts w:cs="Arial"/>
          <w:lang w:val="it-IT"/>
        </w:rPr>
        <w:t xml:space="preserve"> formazione. La QualiCarte stabilisce 28 in</w:t>
      </w:r>
      <w:r>
        <w:rPr>
          <w:rFonts w:cs="Arial"/>
          <w:lang w:val="it-IT"/>
        </w:rPr>
        <w:t>di</w:t>
      </w:r>
      <w:r w:rsidRPr="000A1919">
        <w:rPr>
          <w:rFonts w:cs="Arial"/>
          <w:lang w:val="it-IT"/>
        </w:rPr>
        <w:t>catori per una formazione di qualità</w:t>
      </w:r>
      <w:r w:rsidRPr="00AE05C7">
        <w:rPr>
          <w:lang w:val="it-IT"/>
        </w:rPr>
        <w:t xml:space="preserve"> </w:t>
      </w:r>
      <w:r>
        <w:rPr>
          <w:lang w:val="it-IT"/>
        </w:rPr>
        <w:t>Il formulario</w:t>
      </w:r>
      <w:r w:rsidRPr="000A1919">
        <w:rPr>
          <w:lang w:val="it-IT"/>
        </w:rPr>
        <w:t xml:space="preserve"> è disponibile in versione cartacea o in versione PDF interattivo in lingua italiana, francese e tedesca.</w:t>
      </w:r>
      <w:r w:rsidRPr="000A1919">
        <w:rPr>
          <w:rFonts w:cs="Arial"/>
          <w:lang w:val="it-IT"/>
        </w:rPr>
        <w:t xml:space="preserve"> Ulteriori strumenti di lavoro e informazioni si trovano su</w:t>
      </w:r>
      <w:r w:rsidRPr="000A1919">
        <w:rPr>
          <w:lang w:val="it-IT"/>
        </w:rPr>
        <w:t>: www.qfp.formazioneprof.ch</w:t>
      </w:r>
    </w:p>
    <w:p w:rsidR="0072055B" w:rsidRDefault="0072055B" w:rsidP="0072055B">
      <w:pPr>
        <w:pStyle w:val="LauftextBlocksatzmitTrennung"/>
        <w:rPr>
          <w:lang w:val="it-CH"/>
        </w:rPr>
      </w:pPr>
    </w:p>
    <w:p w:rsidR="00E52F25" w:rsidRPr="004C1538" w:rsidRDefault="00E52F25" w:rsidP="0072055B">
      <w:pPr>
        <w:pStyle w:val="LauftextBlocksatzmitTrennung"/>
        <w:rPr>
          <w:lang w:val="it-CH"/>
        </w:rPr>
      </w:pPr>
    </w:p>
    <w:p w:rsidR="0072055B" w:rsidRPr="006A0455" w:rsidRDefault="00355EA2" w:rsidP="0072055B">
      <w:pPr>
        <w:pStyle w:val="Untertitellinksbndig"/>
        <w:rPr>
          <w:lang w:val="it-CH"/>
        </w:rPr>
      </w:pPr>
      <w:r w:rsidRPr="006A0455">
        <w:rPr>
          <w:lang w:val="it-CH"/>
        </w:rPr>
        <w:t>Indicazioni bibliografiche</w:t>
      </w:r>
    </w:p>
    <w:p w:rsidR="004C1538" w:rsidRPr="004C1538" w:rsidRDefault="004C1538" w:rsidP="004C1538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IT"/>
        </w:rPr>
      </w:pPr>
      <w:r w:rsidRPr="004C1538">
        <w:rPr>
          <w:rFonts w:cs="Arial"/>
          <w:bCs/>
          <w:lang w:val="it-IT"/>
        </w:rPr>
        <w:t>CSFP (Berna).</w:t>
      </w:r>
      <w:r w:rsidRPr="004C1538">
        <w:rPr>
          <w:rFonts w:cs="Arial"/>
          <w:i/>
          <w:lang w:val="it-IT"/>
        </w:rPr>
        <w:t xml:space="preserve"> QualiCarte.</w:t>
      </w:r>
      <w:r w:rsidRPr="004C1538">
        <w:rPr>
          <w:rFonts w:cs="Arial"/>
          <w:lang w:val="it-IT"/>
        </w:rPr>
        <w:t xml:space="preserve"> Berna: CSFO Edizioni, 2011.</w:t>
      </w:r>
    </w:p>
    <w:p w:rsidR="004C1538" w:rsidRPr="004C1538" w:rsidRDefault="004C1538" w:rsidP="004C1538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IT"/>
        </w:rPr>
      </w:pPr>
      <w:r w:rsidRPr="004C1538">
        <w:rPr>
          <w:rFonts w:cs="Arial"/>
          <w:lang w:val="it-IT"/>
        </w:rPr>
        <w:t>4 pagine, pieghevole, A4 orizzontale</w:t>
      </w:r>
    </w:p>
    <w:p w:rsidR="004C1538" w:rsidRPr="004C1538" w:rsidRDefault="004C1538" w:rsidP="004C1538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IT"/>
        </w:rPr>
      </w:pPr>
      <w:r w:rsidRPr="004C1538">
        <w:rPr>
          <w:rFonts w:cs="Arial"/>
          <w:lang w:val="it-IT"/>
        </w:rPr>
        <w:t xml:space="preserve">Set di 10 </w:t>
      </w:r>
      <w:r w:rsidRPr="00715C1C">
        <w:rPr>
          <w:rFonts w:cs="Arial"/>
          <w:lang w:val="it-IT"/>
        </w:rPr>
        <w:t>esemplari</w:t>
      </w:r>
      <w:r>
        <w:rPr>
          <w:rFonts w:cs="Arial"/>
          <w:lang w:val="it-IT"/>
        </w:rPr>
        <w:t>,</w:t>
      </w:r>
      <w:r w:rsidRPr="004C1538">
        <w:rPr>
          <w:rFonts w:cs="Arial"/>
          <w:lang w:val="it-IT"/>
        </w:rPr>
        <w:t xml:space="preserve"> CHF 12.00, disponibil</w:t>
      </w:r>
      <w:r w:rsidRPr="00715C1C">
        <w:rPr>
          <w:rFonts w:cs="Arial"/>
          <w:lang w:val="it-IT"/>
        </w:rPr>
        <w:t>i</w:t>
      </w:r>
      <w:r w:rsidR="00715C1C">
        <w:rPr>
          <w:rFonts w:cs="Arial"/>
          <w:lang w:val="it-IT"/>
        </w:rPr>
        <w:t xml:space="preserve"> </w:t>
      </w:r>
      <w:r w:rsidRPr="004C1538">
        <w:rPr>
          <w:rFonts w:cs="Arial"/>
          <w:lang w:val="it-IT"/>
        </w:rPr>
        <w:t>anche in francese e tedesco.</w:t>
      </w:r>
    </w:p>
    <w:p w:rsidR="0072055B" w:rsidRPr="004C1538" w:rsidRDefault="0072055B" w:rsidP="0072055B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IT"/>
        </w:rPr>
      </w:pPr>
    </w:p>
    <w:p w:rsidR="0072055B" w:rsidRPr="00494DB6" w:rsidRDefault="00355EA2" w:rsidP="0072055B">
      <w:pPr>
        <w:pStyle w:val="Untertitellinksbndig"/>
        <w:rPr>
          <w:lang w:val="it-CH"/>
        </w:rPr>
      </w:pPr>
      <w:r w:rsidRPr="00494DB6">
        <w:rPr>
          <w:lang w:val="it-CH"/>
        </w:rPr>
        <w:t>Ordinazioni</w:t>
      </w:r>
    </w:p>
    <w:p w:rsidR="0072055B" w:rsidRPr="003E081D" w:rsidRDefault="00355EA2" w:rsidP="0072055B">
      <w:pPr>
        <w:pStyle w:val="LauftextBlocksatzmitTrennung"/>
        <w:jc w:val="left"/>
        <w:rPr>
          <w:lang w:val="it-CH"/>
        </w:rPr>
      </w:pPr>
      <w:r w:rsidRPr="003E081D">
        <w:rPr>
          <w:lang w:val="it-CH"/>
        </w:rPr>
        <w:t xml:space="preserve">CSFO </w:t>
      </w:r>
      <w:r w:rsidR="00715C1C" w:rsidRPr="00E52F25">
        <w:rPr>
          <w:lang w:val="it-CH"/>
        </w:rPr>
        <w:t>D</w:t>
      </w:r>
      <w:r w:rsidRPr="003E081D">
        <w:rPr>
          <w:lang w:val="it-CH"/>
        </w:rPr>
        <w:t xml:space="preserve">istribuzione, </w:t>
      </w:r>
      <w:r w:rsidR="00FF432D" w:rsidRPr="003A13A8">
        <w:rPr>
          <w:rFonts w:cs="Arial"/>
          <w:lang w:val="it-IT"/>
        </w:rPr>
        <w:t>Industriestrasse 1, 3052 Zollikofen</w:t>
      </w:r>
      <w:r w:rsidRPr="003E081D">
        <w:rPr>
          <w:lang w:val="it-CH"/>
        </w:rPr>
        <w:br/>
        <w:t>Tel. 0848 999 001, fax</w:t>
      </w:r>
      <w:r w:rsidR="00FF432D">
        <w:rPr>
          <w:lang w:val="it-CH"/>
        </w:rPr>
        <w:t xml:space="preserve"> </w:t>
      </w:r>
      <w:r w:rsidR="00FF432D" w:rsidRPr="003A13A8">
        <w:rPr>
          <w:rFonts w:cs="Arial"/>
          <w:lang w:val="it-IT"/>
        </w:rPr>
        <w:t>031 320 29 38</w:t>
      </w:r>
      <w:r w:rsidRPr="003E081D">
        <w:rPr>
          <w:lang w:val="it-CH"/>
        </w:rPr>
        <w:t>, distribuzione@</w:t>
      </w:r>
      <w:r>
        <w:rPr>
          <w:lang w:val="it-CH"/>
        </w:rPr>
        <w:t>csfo</w:t>
      </w:r>
      <w:r w:rsidRPr="003E081D">
        <w:rPr>
          <w:lang w:val="it-CH"/>
        </w:rPr>
        <w:t>.ch, www.shop.</w:t>
      </w:r>
      <w:r>
        <w:rPr>
          <w:lang w:val="it-CH"/>
        </w:rPr>
        <w:t>csfo</w:t>
      </w:r>
      <w:r w:rsidRPr="003E081D">
        <w:rPr>
          <w:lang w:val="it-CH"/>
        </w:rPr>
        <w:t>.ch</w:t>
      </w:r>
    </w:p>
    <w:p w:rsidR="0072055B" w:rsidRDefault="0072055B" w:rsidP="0072055B">
      <w:pPr>
        <w:pStyle w:val="LauftextBlocksatzmitTrennung"/>
        <w:rPr>
          <w:lang w:val="it-CH"/>
        </w:rPr>
      </w:pPr>
    </w:p>
    <w:p w:rsidR="00804E6D" w:rsidRPr="00494DB6" w:rsidRDefault="00804E6D" w:rsidP="0072055B">
      <w:pPr>
        <w:pStyle w:val="LauftextBlocksatzmitTrennung"/>
        <w:rPr>
          <w:lang w:val="it-CH"/>
        </w:rPr>
      </w:pPr>
    </w:p>
    <w:p w:rsidR="00804E6D" w:rsidRPr="003A13A8" w:rsidRDefault="00355EA2" w:rsidP="0072055B">
      <w:pPr>
        <w:pStyle w:val="Ausgabedatum"/>
        <w:rPr>
          <w:lang w:val="it-IT"/>
        </w:rPr>
      </w:pPr>
      <w:r w:rsidRPr="003A13A8">
        <w:rPr>
          <w:lang w:val="it-IT"/>
        </w:rPr>
        <w:t xml:space="preserve">Edizione </w:t>
      </w:r>
      <w:r w:rsidR="00FF432D" w:rsidRPr="003A13A8">
        <w:rPr>
          <w:lang w:val="it-IT"/>
        </w:rPr>
        <w:t>03</w:t>
      </w:r>
      <w:r w:rsidRPr="003A13A8">
        <w:rPr>
          <w:lang w:val="it-IT"/>
        </w:rPr>
        <w:t>.</w:t>
      </w:r>
      <w:r w:rsidR="004C1538" w:rsidRPr="003A13A8">
        <w:rPr>
          <w:lang w:val="it-IT"/>
        </w:rPr>
        <w:t>201</w:t>
      </w:r>
      <w:r w:rsidR="00FF432D" w:rsidRPr="003A13A8">
        <w:rPr>
          <w:lang w:val="it-IT"/>
        </w:rPr>
        <w:t>2</w:t>
      </w:r>
    </w:p>
    <w:p w:rsidR="0072055B" w:rsidRPr="00804E6D" w:rsidRDefault="00077223" w:rsidP="0072055B">
      <w:pPr>
        <w:pStyle w:val="Ausgabedatum"/>
        <w:rPr>
          <w:lang w:val="it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195580</wp:posOffset>
            </wp:positionV>
            <wp:extent cx="5762625" cy="1047750"/>
            <wp:effectExtent l="0" t="0" r="9525" b="0"/>
            <wp:wrapNone/>
            <wp:docPr id="2" name="Bild 2" descr="CSFO_adressblock_I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FO_adressblock_I_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E6D" w:rsidRPr="00804E6D">
        <w:rPr>
          <w:lang w:val="it-CH" w:eastAsia="de-CH"/>
        </w:rPr>
        <w:t>Rubrica info: www.info.formazioneprof.ch</w:t>
      </w:r>
    </w:p>
    <w:sectPr w:rsidR="0072055B" w:rsidRPr="00804E6D" w:rsidSect="0072055B">
      <w:pgSz w:w="11906" w:h="16838"/>
      <w:pgMar w:top="1418" w:right="1418" w:bottom="567" w:left="1418" w:header="709" w:footer="142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5A" w:rsidRDefault="00A2645A">
      <w:r>
        <w:separator/>
      </w:r>
    </w:p>
  </w:endnote>
  <w:endnote w:type="continuationSeparator" w:id="0">
    <w:p w:rsidR="00A2645A" w:rsidRDefault="00A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1C" w:rsidRDefault="00DB41C1"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9901555</wp:posOffset>
          </wp:positionV>
          <wp:extent cx="5384800" cy="381000"/>
          <wp:effectExtent l="0" t="0" r="6350" b="0"/>
          <wp:wrapNone/>
          <wp:docPr id="1" name="Bild 1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1C" w:rsidRPr="00344DF3" w:rsidRDefault="00715C1C">
    <w:pPr>
      <w:rPr>
        <w:rFonts w:cs="Arial"/>
        <w:lang w:val="de-CH"/>
      </w:rPr>
    </w:pPr>
  </w:p>
  <w:p w:rsidR="00715C1C" w:rsidRPr="00344DF3" w:rsidRDefault="00715C1C">
    <w:pPr>
      <w:rPr>
        <w:rFonts w:cs="Arial"/>
        <w:lang w:val="de-CH"/>
      </w:rPr>
    </w:pPr>
    <w:r w:rsidRPr="00344DF3">
      <w:rPr>
        <w:rFonts w:cs="Arial"/>
        <w:lang w:val="de-CH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5A" w:rsidRDefault="00A2645A">
      <w:r>
        <w:separator/>
      </w:r>
    </w:p>
  </w:footnote>
  <w:footnote w:type="continuationSeparator" w:id="0">
    <w:p w:rsidR="00A2645A" w:rsidRDefault="00A2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4387D"/>
    <w:multiLevelType w:val="hybridMultilevel"/>
    <w:tmpl w:val="BA1A2756"/>
    <w:lvl w:ilvl="0" w:tplc="E5C660D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2E"/>
    <w:rsid w:val="00077223"/>
    <w:rsid w:val="000C1C3C"/>
    <w:rsid w:val="00136185"/>
    <w:rsid w:val="00181F06"/>
    <w:rsid w:val="001C1006"/>
    <w:rsid w:val="0025141B"/>
    <w:rsid w:val="00260CFC"/>
    <w:rsid w:val="00305F3D"/>
    <w:rsid w:val="00310E74"/>
    <w:rsid w:val="00355EA2"/>
    <w:rsid w:val="003635CC"/>
    <w:rsid w:val="003A13A8"/>
    <w:rsid w:val="003E189C"/>
    <w:rsid w:val="003E4ECC"/>
    <w:rsid w:val="00470AC0"/>
    <w:rsid w:val="00494DB6"/>
    <w:rsid w:val="004C1538"/>
    <w:rsid w:val="00604C7F"/>
    <w:rsid w:val="00715C1C"/>
    <w:rsid w:val="0072055B"/>
    <w:rsid w:val="00804E6D"/>
    <w:rsid w:val="008501A4"/>
    <w:rsid w:val="008C26B3"/>
    <w:rsid w:val="008E2C2E"/>
    <w:rsid w:val="008F7DA0"/>
    <w:rsid w:val="009B0885"/>
    <w:rsid w:val="00A2645A"/>
    <w:rsid w:val="00A55B0F"/>
    <w:rsid w:val="00C177C5"/>
    <w:rsid w:val="00C93C1D"/>
    <w:rsid w:val="00DB41C1"/>
    <w:rsid w:val="00DF17F3"/>
    <w:rsid w:val="00E52F25"/>
    <w:rsid w:val="00EC4743"/>
    <w:rsid w:val="00F32800"/>
    <w:rsid w:val="00F9039B"/>
    <w:rsid w:val="00FD1A4B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7FF447AC"/>
  <w15:docId w15:val="{B9EE5616-DA3A-4BB4-8002-1F4041B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4C1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F2C1E3B9</Template>
  <TotalTime>0</TotalTime>
  <Pages>2</Pages>
  <Words>626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Mitteilung_Name_jjmmdd</vt:lpstr>
      <vt:lpstr>Mitteilung_Name_jjmmdd</vt:lpstr>
    </vt:vector>
  </TitlesOfParts>
  <Company>SDBB Verlag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Mitteilung_Name_jjmmdd</dc:title>
  <dc:creator>Anna Scheidiger</dc:creator>
  <dc:description>Mitteilung des SDBB 
Medienbereich Berufsbildung</dc:description>
  <cp:lastModifiedBy>Ademi, Zana</cp:lastModifiedBy>
  <cp:revision>2</cp:revision>
  <cp:lastPrinted>2011-01-21T13:39:00Z</cp:lastPrinted>
  <dcterms:created xsi:type="dcterms:W3CDTF">2019-06-05T07:19:00Z</dcterms:created>
  <dcterms:modified xsi:type="dcterms:W3CDTF">2019-06-05T07:19:00Z</dcterms:modified>
</cp:coreProperties>
</file>